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D71" w:rsidRDefault="000C4D71" w:rsidP="000C4D71">
      <w:pPr>
        <w:jc w:val="center"/>
      </w:pPr>
      <w:r>
        <w:t>Comune di Bardonecchia</w:t>
      </w:r>
    </w:p>
    <w:p w:rsidR="000C4D71" w:rsidRDefault="000C4D71" w:rsidP="000C4D71">
      <w:pPr>
        <w:jc w:val="center"/>
      </w:pPr>
      <w:r>
        <w:t>ORGANO DI REVISIONE</w:t>
      </w:r>
    </w:p>
    <w:p w:rsidR="000C4D71" w:rsidRDefault="004A6ABF" w:rsidP="000C4D71">
      <w:pPr>
        <w:jc w:val="center"/>
      </w:pPr>
      <w:r>
        <w:t>Verbale n. 49  del  28 gennaio 2026</w:t>
      </w:r>
    </w:p>
    <w:p w:rsidR="000C4D71" w:rsidRPr="00957469" w:rsidRDefault="000C4D71" w:rsidP="000C4D71">
      <w:pPr>
        <w:jc w:val="center"/>
        <w:rPr>
          <w:u w:val="single"/>
        </w:rPr>
      </w:pPr>
      <w:r>
        <w:rPr>
          <w:u w:val="single"/>
        </w:rPr>
        <w:t xml:space="preserve">Oggetto: Parere dell’Organo di revisione sulla </w:t>
      </w:r>
      <w:r w:rsidR="00EC63CF">
        <w:rPr>
          <w:u w:val="single"/>
        </w:rPr>
        <w:t xml:space="preserve">MODIFICA REGOLAMENTO PER L’APPLICAZIONE DEL CANONE PATRIMONIALE </w:t>
      </w:r>
      <w:proofErr w:type="spellStart"/>
      <w:r w:rsidR="00EC63CF">
        <w:rPr>
          <w:u w:val="single"/>
        </w:rPr>
        <w:t>DI</w:t>
      </w:r>
      <w:proofErr w:type="spellEnd"/>
      <w:r w:rsidR="00EC63CF">
        <w:rPr>
          <w:u w:val="single"/>
        </w:rPr>
        <w:t xml:space="preserve"> CONCESSIONE, AUTORIZZAZONE O ESPOSIZIONE PUBBLICITARIA</w:t>
      </w:r>
    </w:p>
    <w:p w:rsidR="000C4D71" w:rsidRPr="00805CA9" w:rsidRDefault="000C4D71" w:rsidP="000C4D71">
      <w:pPr>
        <w:rPr>
          <w:rFonts w:cstheme="minorHAnsi"/>
        </w:rPr>
      </w:pPr>
      <w:r w:rsidRPr="00805CA9">
        <w:rPr>
          <w:rFonts w:cstheme="minorHAnsi"/>
        </w:rPr>
        <w:t>Il sottoscritto CERUTTI Dott. Francesco, Revisore dei conti del Comune di Bardonecchia (TO )nominato con Deliberazione Consigliare n. 18 del 16 maggio 2024 per il triennio 1 giugno 2024/31 maggio 2027, esecutiva ai sensi di legge, in ottemperanza alle vigenti prescrizioni di legge.</w:t>
      </w:r>
    </w:p>
    <w:p w:rsidR="000C4D71" w:rsidRDefault="000C4D71" w:rsidP="000C4D71">
      <w:pPr>
        <w:autoSpaceDN w:val="0"/>
        <w:spacing w:line="256" w:lineRule="auto"/>
        <w:jc w:val="both"/>
        <w:rPr>
          <w:rFonts w:eastAsia="Times New Roman" w:cstheme="minorHAnsi"/>
          <w:bCs/>
          <w:kern w:val="3"/>
        </w:rPr>
      </w:pPr>
      <w:r w:rsidRPr="000C4D71">
        <w:rPr>
          <w:rFonts w:eastAsia="Times New Roman" w:cstheme="minorHAnsi"/>
          <w:b/>
          <w:kern w:val="3"/>
        </w:rPr>
        <w:t>Premesso che</w:t>
      </w:r>
      <w:r w:rsidRPr="000C4D71">
        <w:rPr>
          <w:rFonts w:eastAsia="Times New Roman" w:cstheme="minorHAnsi"/>
          <w:bCs/>
          <w:kern w:val="3"/>
        </w:rPr>
        <w:t>:</w:t>
      </w:r>
    </w:p>
    <w:p w:rsidR="00357438" w:rsidRDefault="00357438" w:rsidP="00357438">
      <w:pPr>
        <w:pStyle w:val="Paragrafoelenco"/>
        <w:numPr>
          <w:ilvl w:val="0"/>
          <w:numId w:val="3"/>
        </w:numPr>
        <w:jc w:val="both"/>
      </w:pPr>
      <w:r w:rsidRPr="006E407B">
        <w:t xml:space="preserve">l’art. 42, comma 2, lett. f) D. </w:t>
      </w:r>
      <w:proofErr w:type="spellStart"/>
      <w:r w:rsidRPr="006E407B">
        <w:t>Lgs</w:t>
      </w:r>
      <w:proofErr w:type="spellEnd"/>
      <w:r w:rsidRPr="006E407B">
        <w:t>. 18 agosto 2000, che attribuisce al Consiglio</w:t>
      </w:r>
      <w:r>
        <w:t xml:space="preserve"> </w:t>
      </w:r>
      <w:r w:rsidRPr="006E407B">
        <w:t>Comunale la competenza all’istituzione e ordinamento dei tributi nonché alla disciplina generale delle tariffe per la fruizione dei beni e dei servizi.</w:t>
      </w:r>
    </w:p>
    <w:p w:rsidR="00357438" w:rsidRPr="006E407B" w:rsidRDefault="00357438" w:rsidP="00357438">
      <w:pPr>
        <w:pStyle w:val="Paragrafoelenco"/>
        <w:numPr>
          <w:ilvl w:val="0"/>
          <w:numId w:val="3"/>
        </w:numPr>
        <w:jc w:val="both"/>
      </w:pPr>
      <w:r w:rsidRPr="006E407B">
        <w:t xml:space="preserve">l’art. 52 D. </w:t>
      </w:r>
      <w:proofErr w:type="spellStart"/>
      <w:r w:rsidRPr="006E407B">
        <w:t>Lgs</w:t>
      </w:r>
      <w:proofErr w:type="spellEnd"/>
      <w:r w:rsidRPr="006E407B">
        <w:t xml:space="preserve">. 15 dicembre 1997 n. 446, in materia di potestà regolamentare dei Comuni, in base al quale </w:t>
      </w:r>
      <w:r w:rsidRPr="00357438">
        <w:rPr>
          <w:i/>
          <w:iCs/>
        </w:rPr>
        <w:t>«le Province ed i Comuni possono disciplinare con regolamento le proprie entrate, anche tributarie, salvo per quanto attiene alla individuazione e definizione delle fattispecie imponibili, dei soggetti passivi e della aliquota massima dei singoli tributi, nel rispetto delle esigenze di semplificazione degli adempimenti dei contribuenti. Per quanto non regolamentato si applicano le disposizioni di legge vigenti»</w:t>
      </w:r>
      <w:r w:rsidRPr="006E407B">
        <w:t>.</w:t>
      </w:r>
    </w:p>
    <w:p w:rsidR="00357438" w:rsidRPr="006E407B" w:rsidRDefault="00357438" w:rsidP="00357438">
      <w:pPr>
        <w:jc w:val="both"/>
        <w:rPr>
          <w:i/>
          <w:iCs/>
        </w:rPr>
      </w:pPr>
      <w:r w:rsidRPr="006E407B">
        <w:t xml:space="preserve">DATO ATTO che il termine per approvare le modifiche regolamentari con effetto retroattivo al 1°gennaio dell’anno di riferimento corrisponde con il termine ultimo fissato a livello nazionale per l’approvazione del bilancio di previsione, in base a quanto disposto dall’art. 52, comma 2 D. </w:t>
      </w:r>
      <w:proofErr w:type="spellStart"/>
      <w:r w:rsidRPr="006E407B">
        <w:t>Lgs</w:t>
      </w:r>
      <w:proofErr w:type="spellEnd"/>
      <w:r w:rsidRPr="006E407B">
        <w:t xml:space="preserve">. 15 dicembre 1997 n. 446, come interpretato dall’art. 53, comma 16 L. 23 dicembre 2000 n. 388 e poi integrato dall’art. 27, comma 8 L. 28 dicembre 2001 n. 448, in base al quale </w:t>
      </w:r>
      <w:r w:rsidRPr="006E407B">
        <w:rPr>
          <w:i/>
          <w:iCs/>
        </w:rPr>
        <w:t>«il termine per deliberare le aliquote e le tariffe dei tributi locali, compresa l’aliquota dell’addizionale comunale all’</w:t>
      </w:r>
      <w:proofErr w:type="spellStart"/>
      <w:r w:rsidRPr="006E407B">
        <w:rPr>
          <w:i/>
          <w:iCs/>
        </w:rPr>
        <w:t>I.R.P.E.F.</w:t>
      </w:r>
      <w:proofErr w:type="spellEnd"/>
      <w:r w:rsidRPr="006E407B">
        <w:rPr>
          <w:i/>
          <w:iCs/>
        </w:rPr>
        <w:t xml:space="preserve"> di cui all’articolo 1, comma 3 D. </w:t>
      </w:r>
      <w:proofErr w:type="spellStart"/>
      <w:r w:rsidRPr="006E407B">
        <w:rPr>
          <w:i/>
          <w:iCs/>
        </w:rPr>
        <w:t>Lgs</w:t>
      </w:r>
      <w:proofErr w:type="spellEnd"/>
      <w:r w:rsidRPr="006E407B">
        <w:rPr>
          <w:i/>
          <w:iCs/>
        </w:rPr>
        <w:t>. 28 settembre 1998 n. 360, recante istituzione di una addizionale comunale all’</w:t>
      </w:r>
      <w:proofErr w:type="spellStart"/>
      <w:r w:rsidRPr="006E407B">
        <w:rPr>
          <w:i/>
          <w:iCs/>
        </w:rPr>
        <w:t>I.R.P.E.F.</w:t>
      </w:r>
      <w:proofErr w:type="spellEnd"/>
      <w:r w:rsidRPr="006E407B">
        <w:rPr>
          <w:i/>
          <w:iCs/>
        </w:rPr>
        <w:t xml:space="preserve"> e successive modificazioni, e le tariffe dei servizi pubblici locali, nonché per approvare i regolamenti relativi alle entrate degli enti locali, è stabilito entro la data fissata da norme statali per la deliberazione del bilancio di previsione</w:t>
      </w:r>
      <w:r w:rsidRPr="006E407B">
        <w:rPr>
          <w:b/>
          <w:bCs/>
          <w:i/>
          <w:iCs/>
        </w:rPr>
        <w:t xml:space="preserve">. </w:t>
      </w:r>
      <w:r w:rsidRPr="006E407B">
        <w:rPr>
          <w:i/>
          <w:iCs/>
        </w:rPr>
        <w:t>I regolamenti sulle entrate, anche se approvati successivamente all’inizio dell’esercizio purché entro il termine di cui sopra, hanno effetto dal 1° gennaio dell’anno di riferimento».</w:t>
      </w:r>
    </w:p>
    <w:p w:rsidR="00357438" w:rsidRPr="006E407B" w:rsidRDefault="00357438" w:rsidP="00357438">
      <w:pPr>
        <w:jc w:val="both"/>
      </w:pPr>
      <w:r w:rsidRPr="006E407B">
        <w:t xml:space="preserve">RICHIAMATO in tal senso quanto stabilito dal successivo art. 1, comma 169 L. 27 dicembre 2006 n. 296, il quale a sua volta dispone che </w:t>
      </w:r>
      <w:r w:rsidRPr="006E407B">
        <w:rPr>
          <w:i/>
          <w:iCs/>
        </w:rPr>
        <w:t>«gli enti locali deliberano le tariffe e le aliquote relative ai tributi di loro competenza entro la data fissata da norme statali per la deliberazione del bilancio di previsione. Dette deliberazioni, anche se approvate successivamente all’inizio dell’esercizio purché entro il termine innanzi indicato, hanno effetto dal 1° gennaio dell’anno di riferimento. In caso di mancata approvazione entro il suddetto termine, le tariffe e le aliquote si intendono prorogate di anno in anno»</w:t>
      </w:r>
      <w:r w:rsidRPr="006E407B">
        <w:t>.</w:t>
      </w:r>
    </w:p>
    <w:p w:rsidR="00357438" w:rsidRPr="006E407B" w:rsidRDefault="00357438" w:rsidP="00357438">
      <w:pPr>
        <w:jc w:val="both"/>
        <w:rPr>
          <w:bCs/>
        </w:rPr>
      </w:pPr>
      <w:bookmarkStart w:id="0" w:name="_Hlk44690709"/>
      <w:r w:rsidRPr="006E407B">
        <w:t>DATO ATTO</w:t>
      </w:r>
      <w:r w:rsidRPr="006E407B">
        <w:rPr>
          <w:b/>
        </w:rPr>
        <w:t xml:space="preserve"> </w:t>
      </w:r>
      <w:r w:rsidRPr="006E407B">
        <w:t xml:space="preserve">che, tale termine è stato </w:t>
      </w:r>
      <w:r w:rsidRPr="006E407B">
        <w:rPr>
          <w:bCs/>
        </w:rPr>
        <w:t xml:space="preserve">differito al 28 febbraio 2026 con Decreto del Ministero dell’Interno del 24/12/2025 </w:t>
      </w:r>
      <w:r w:rsidRPr="006E407B">
        <w:t>pubblicato in GU n 302 del 31/12/2025 </w:t>
      </w:r>
      <w:bookmarkEnd w:id="0"/>
      <w:r w:rsidRPr="006E407B">
        <w:t>;</w:t>
      </w:r>
    </w:p>
    <w:p w:rsidR="00357438" w:rsidRPr="006E407B" w:rsidRDefault="00357438" w:rsidP="00357438">
      <w:pPr>
        <w:jc w:val="both"/>
        <w:rPr>
          <w:i/>
          <w:iCs/>
        </w:rPr>
      </w:pPr>
      <w:r w:rsidRPr="006E407B">
        <w:rPr>
          <w:b/>
          <w:bCs/>
        </w:rPr>
        <w:t xml:space="preserve">Vista </w:t>
      </w:r>
      <w:r w:rsidRPr="006E407B">
        <w:t xml:space="preserve">la disposizione contenuta nell’articolo 1 comma 757 della Legge 30 Dicembre 2024, n. 207con la quale è stato modificato il comma 817 prevedendo per gli enti locali la facoltà di variare le tariffe secondo </w:t>
      </w:r>
      <w:r w:rsidRPr="006E407B">
        <w:rPr>
          <w:i/>
          <w:iCs/>
        </w:rPr>
        <w:t>“</w:t>
      </w:r>
      <w:proofErr w:type="spellStart"/>
      <w:r w:rsidRPr="006E407B">
        <w:rPr>
          <w:i/>
          <w:iCs/>
        </w:rPr>
        <w:t>…criteri</w:t>
      </w:r>
      <w:proofErr w:type="spellEnd"/>
      <w:r w:rsidRPr="006E407B">
        <w:rPr>
          <w:i/>
          <w:iCs/>
        </w:rPr>
        <w:t xml:space="preserve"> di ragionevolezza e di gradualità in ragione dell'impatto ambientale e urbanistico delle occupazioni e delle esposizioni pubblicitarie oggetto del canone e della loro incidenza su elementi di arredo urbano o sui mezzi dei servizi di trasporto pubblico locale o dei servizi di mobilità sostenibile”;</w:t>
      </w:r>
    </w:p>
    <w:p w:rsidR="00357438" w:rsidRPr="006E407B" w:rsidRDefault="00357438" w:rsidP="00357438">
      <w:pPr>
        <w:jc w:val="both"/>
      </w:pPr>
      <w:r w:rsidRPr="006E407B">
        <w:rPr>
          <w:b/>
          <w:bCs/>
        </w:rPr>
        <w:lastRenderedPageBreak/>
        <w:t xml:space="preserve">Vista </w:t>
      </w:r>
      <w:r w:rsidRPr="006E407B">
        <w:t>inoltre</w:t>
      </w:r>
      <w:r w:rsidRPr="006E407B">
        <w:rPr>
          <w:b/>
          <w:bCs/>
        </w:rPr>
        <w:t xml:space="preserve">  </w:t>
      </w:r>
      <w:r w:rsidRPr="006E407B">
        <w:t>la disposizione contenuta nell’articolo 19-bis Legge 118/2025 di conversione del Decreto Legge 30 giugno 2025, n. 95 con la quale è stato ulteriormente modificato il comma 817 introducendo la possibilità per gli enti locali di rivalutare l’impianto tariffario del canone</w:t>
      </w:r>
    </w:p>
    <w:p w:rsidR="00357438" w:rsidRPr="00357438" w:rsidRDefault="00357438" w:rsidP="00357438">
      <w:pPr>
        <w:jc w:val="both"/>
        <w:rPr>
          <w:i/>
          <w:iCs/>
        </w:rPr>
      </w:pPr>
      <w:r w:rsidRPr="006E407B">
        <w:rPr>
          <w:i/>
          <w:iCs/>
        </w:rPr>
        <w:t>“</w:t>
      </w:r>
      <w:proofErr w:type="spellStart"/>
      <w:r w:rsidRPr="006E407B">
        <w:rPr>
          <w:i/>
          <w:iCs/>
        </w:rPr>
        <w:t>…annualmente</w:t>
      </w:r>
      <w:proofErr w:type="spellEnd"/>
      <w:r w:rsidRPr="006E407B">
        <w:rPr>
          <w:i/>
          <w:iCs/>
        </w:rPr>
        <w:t xml:space="preserve"> in base all'indice ISTAT dei prezzi al consumo rilevati al 31 dicembre dell'anno </w:t>
      </w:r>
      <w:proofErr w:type="spellStart"/>
      <w:r w:rsidRPr="006E407B">
        <w:rPr>
          <w:i/>
          <w:iCs/>
        </w:rPr>
        <w:t>precedente…</w:t>
      </w:r>
      <w:proofErr w:type="spellEnd"/>
      <w:r w:rsidRPr="006E407B">
        <w:rPr>
          <w:i/>
          <w:iCs/>
        </w:rPr>
        <w:t>”;</w:t>
      </w:r>
    </w:p>
    <w:p w:rsidR="000C4D71" w:rsidRPr="000C4D71" w:rsidRDefault="000C4D71" w:rsidP="000C4D71">
      <w:pPr>
        <w:numPr>
          <w:ilvl w:val="0"/>
          <w:numId w:val="2"/>
        </w:numPr>
        <w:autoSpaceDN w:val="0"/>
        <w:spacing w:line="256" w:lineRule="auto"/>
        <w:jc w:val="both"/>
        <w:rPr>
          <w:rFonts w:eastAsia="Times New Roman" w:cstheme="minorHAnsi"/>
          <w:kern w:val="3"/>
        </w:rPr>
      </w:pPr>
      <w:r w:rsidRPr="000C4D71">
        <w:rPr>
          <w:rFonts w:eastAsia="Times New Roman" w:cstheme="minorHAnsi"/>
          <w:kern w:val="3"/>
        </w:rPr>
        <w:t>l’art. 1, comma 639, della Legge 27 dicembre 2013, n. 147 ha istituito, dal 1° gennaio 2014, la tassa sui rifiuti (TARI), destinata a finanziare i costi del servizio di raccolta e smaltimento dei rifiuti, quale componente dell’Imposta Unica Comunale (IUC);</w:t>
      </w:r>
    </w:p>
    <w:p w:rsidR="000C4D71" w:rsidRPr="000C4D71" w:rsidRDefault="000C4D71" w:rsidP="000C4D71">
      <w:pPr>
        <w:numPr>
          <w:ilvl w:val="0"/>
          <w:numId w:val="2"/>
        </w:numPr>
        <w:autoSpaceDN w:val="0"/>
        <w:spacing w:line="256" w:lineRule="auto"/>
        <w:jc w:val="both"/>
        <w:rPr>
          <w:rFonts w:eastAsia="Times New Roman" w:cstheme="minorHAnsi"/>
          <w:kern w:val="3"/>
        </w:rPr>
      </w:pPr>
      <w:r w:rsidRPr="000C4D71">
        <w:rPr>
          <w:rFonts w:eastAsia="Times New Roman" w:cstheme="minorHAnsi"/>
          <w:kern w:val="3"/>
        </w:rPr>
        <w:t>l’art. 1, comma 738, della Legge 27 dicembre 2019, n. 160 ha abolito, con decorrenza dal 2020, l’Imposta Unica Comunale, ad eccezione della Tassa sui Rifiuti (TARI);</w:t>
      </w:r>
    </w:p>
    <w:p w:rsidR="000C4D71" w:rsidRPr="000C4D71" w:rsidRDefault="000C4D71" w:rsidP="000C4D71">
      <w:pPr>
        <w:numPr>
          <w:ilvl w:val="0"/>
          <w:numId w:val="2"/>
        </w:numPr>
        <w:autoSpaceDN w:val="0"/>
        <w:spacing w:line="256" w:lineRule="auto"/>
        <w:jc w:val="both"/>
        <w:rPr>
          <w:rFonts w:eastAsia="Times New Roman" w:cstheme="minorHAnsi"/>
          <w:kern w:val="3"/>
        </w:rPr>
      </w:pPr>
      <w:r w:rsidRPr="000C4D71">
        <w:rPr>
          <w:rFonts w:eastAsia="Times New Roman" w:cstheme="minorHAnsi"/>
          <w:kern w:val="3"/>
        </w:rPr>
        <w:t>l’art. 1, comma 527, della Legge 27 dicembre 2017, n. 205, ha attribuito all’Autorità di Regolazione per Energia, Reti e Ambiente (ARERA), tra l’altro, le funzioni di regolazione in materia di predisposizione e aggiornamento del metodo tariffario per la determinazione dei corrispettivi del servizio integrato dei rifiuti e dei singoli servizi che costituiscono attività di gestione, a copertura dei costi di esercizio e di investimento, compresa la remunerazione dei capitali, sulla base della valutazione dei costi efficienti e del principio «chi inquina paga »;</w:t>
      </w:r>
    </w:p>
    <w:p w:rsidR="00346CAD" w:rsidRPr="006E407B" w:rsidRDefault="00346CAD" w:rsidP="00346CAD">
      <w:pPr>
        <w:jc w:val="both"/>
      </w:pPr>
      <w:r w:rsidRPr="006E407B">
        <w:t>CONSIDERATO che il suddetto Canone sostituisce, a decorrere dal 2021, la Tassa per l’occupazione di spazi ed aree pubbliche, del Canone per l’occupazione di spazi ed aree pubbliche, dell’Imposta comunale sulla pubblicità e del diritto sulle pubbliche affissioni.</w:t>
      </w:r>
    </w:p>
    <w:p w:rsidR="00346CAD" w:rsidRPr="006E407B" w:rsidRDefault="00346CAD" w:rsidP="00346CAD">
      <w:pPr>
        <w:jc w:val="both"/>
      </w:pPr>
      <w:r>
        <w:t>Vista</w:t>
      </w:r>
      <w:r w:rsidRPr="006E407B">
        <w:t xml:space="preserve"> la deliberazione di Consiglio Comunale n. 12 del 14/04/2021 avente ad oggetto “REGOLAMENTO COMUNALE PER L'APPLICAZIONE DEL CANONE PATRIMONIALE </w:t>
      </w:r>
      <w:proofErr w:type="spellStart"/>
      <w:r w:rsidRPr="006E407B">
        <w:t>DI</w:t>
      </w:r>
      <w:proofErr w:type="spellEnd"/>
      <w:r w:rsidRPr="006E407B">
        <w:t xml:space="preserve"> CONCESSIONE, AUTORIZZAZIONE O ESPOSIZIONE PUBBLICITARIA - APPROVAZIONE”;</w:t>
      </w:r>
    </w:p>
    <w:p w:rsidR="00346CAD" w:rsidRPr="006E407B" w:rsidRDefault="00346CAD" w:rsidP="00346CAD">
      <w:pPr>
        <w:jc w:val="both"/>
      </w:pPr>
      <w:r>
        <w:t>Vista</w:t>
      </w:r>
      <w:r w:rsidRPr="006E407B">
        <w:t xml:space="preserve"> la deliberazione di Consiglio Comunale n. 1 del 22/03/2022 avente ad oggetto “REGOLAMENTO COMUNALE PER L'APPLICAZIONE DEL CANONE PATRIMONIALE </w:t>
      </w:r>
      <w:proofErr w:type="spellStart"/>
      <w:r w:rsidRPr="006E407B">
        <w:t>DI</w:t>
      </w:r>
      <w:proofErr w:type="spellEnd"/>
      <w:r w:rsidRPr="006E407B">
        <w:t xml:space="preserve"> CONCESSIONE, AUTORIZZAZIONE O ESPOSIZIONE PUBBLICITARIA – MODIFICA”;</w:t>
      </w:r>
    </w:p>
    <w:p w:rsidR="00346CAD" w:rsidRPr="006E407B" w:rsidRDefault="00346CAD" w:rsidP="00346CAD">
      <w:pPr>
        <w:jc w:val="both"/>
      </w:pPr>
      <w:r>
        <w:t xml:space="preserve"> V</w:t>
      </w:r>
      <w:r w:rsidRPr="006E407B">
        <w:t>iste le sopra richiamate variazioni  alla disciplina del Canone Unico Patrimoniale avvenute nel c</w:t>
      </w:r>
      <w:r>
        <w:t>orso del 2024 e 2025, viene modificato</w:t>
      </w:r>
      <w:r w:rsidRPr="006E407B">
        <w:t xml:space="preserve"> l’art. 21 inserendo il comma 4 come di seguito specificato:</w:t>
      </w:r>
    </w:p>
    <w:p w:rsidR="00346CAD" w:rsidRPr="006E407B" w:rsidRDefault="00346CAD" w:rsidP="00346CAD">
      <w:pPr>
        <w:jc w:val="center"/>
        <w:rPr>
          <w:i/>
          <w:iCs/>
        </w:rPr>
      </w:pPr>
      <w:r w:rsidRPr="006E407B">
        <w:rPr>
          <w:b/>
          <w:i/>
          <w:iCs/>
        </w:rPr>
        <w:t>Art. 21 –  Criteri per la determinazione della tariffa del canone</w:t>
      </w:r>
    </w:p>
    <w:p w:rsidR="00346CAD" w:rsidRPr="006E407B" w:rsidRDefault="00346CAD" w:rsidP="00346CAD">
      <w:pPr>
        <w:jc w:val="center"/>
        <w:rPr>
          <w:i/>
          <w:iCs/>
        </w:rPr>
      </w:pPr>
      <w:proofErr w:type="spellStart"/>
      <w:r w:rsidRPr="006E407B">
        <w:rPr>
          <w:i/>
          <w:iCs/>
        </w:rPr>
        <w:t>…………</w:t>
      </w:r>
      <w:proofErr w:type="spellEnd"/>
      <w:r w:rsidRPr="006E407B">
        <w:rPr>
          <w:i/>
          <w:iCs/>
        </w:rPr>
        <w:t>..OMISSIS</w:t>
      </w:r>
    </w:p>
    <w:p w:rsidR="00930956" w:rsidRPr="00346CAD" w:rsidRDefault="00346CAD" w:rsidP="00346CAD">
      <w:pPr>
        <w:jc w:val="center"/>
        <w:rPr>
          <w:i/>
          <w:iCs/>
        </w:rPr>
      </w:pPr>
      <w:r w:rsidRPr="006E407B">
        <w:rPr>
          <w:i/>
          <w:iCs/>
        </w:rPr>
        <w:t>4. Le tariffe vengono rivalutate annualmente in base all’indice ISTAT dei prezzi al consumo rilevati al 31 dicembre dell’anno precedente.</w:t>
      </w:r>
    </w:p>
    <w:p w:rsidR="000C4D71" w:rsidRDefault="00991A45" w:rsidP="000C4D71">
      <w:pPr>
        <w:autoSpaceDN w:val="0"/>
        <w:spacing w:line="256" w:lineRule="auto"/>
        <w:jc w:val="both"/>
        <w:rPr>
          <w:rFonts w:eastAsia="Times New Roman" w:cstheme="minorHAnsi"/>
          <w:kern w:val="3"/>
        </w:rPr>
      </w:pPr>
      <w:r w:rsidRPr="00991A45">
        <w:rPr>
          <w:rFonts w:eastAsia="Times New Roman" w:cstheme="minorHAnsi"/>
          <w:b/>
          <w:bCs/>
          <w:kern w:val="3"/>
        </w:rPr>
        <w:t>Visti</w:t>
      </w:r>
      <w:r w:rsidR="000C4D71" w:rsidRPr="000C4D71">
        <w:rPr>
          <w:rFonts w:eastAsia="Times New Roman" w:cstheme="minorHAnsi"/>
          <w:kern w:val="3"/>
        </w:rPr>
        <w:t xml:space="preserve"> i pareri favorevole in ordine alla regolarità tecnica e contabile ai sensi dell’art.49 c.1 T.U. 267/00 da parte del responsabile del Servizio Finanziario e Tributi, </w:t>
      </w:r>
    </w:p>
    <w:p w:rsidR="00991A45" w:rsidRPr="00805CA9" w:rsidRDefault="00991A45" w:rsidP="00991A45">
      <w:pPr>
        <w:rPr>
          <w:rFonts w:cstheme="minorHAnsi"/>
        </w:rPr>
      </w:pPr>
      <w:r w:rsidRPr="00805CA9">
        <w:rPr>
          <w:rFonts w:cstheme="minorHAnsi"/>
        </w:rPr>
        <w:t>Il Revisore del Conto, sulla base degli atti proposti, limitatamente alle proprie competenze</w:t>
      </w:r>
    </w:p>
    <w:p w:rsidR="00991A45" w:rsidRPr="00805CA9" w:rsidRDefault="00991A45" w:rsidP="006D4CAA">
      <w:pPr>
        <w:jc w:val="center"/>
        <w:rPr>
          <w:rFonts w:cstheme="minorHAnsi"/>
          <w:b/>
          <w:bCs/>
        </w:rPr>
      </w:pPr>
      <w:r w:rsidRPr="00805CA9">
        <w:rPr>
          <w:rFonts w:cstheme="minorHAnsi"/>
          <w:b/>
          <w:bCs/>
        </w:rPr>
        <w:t>ESPRIME PARERE FAVOREVOLE</w:t>
      </w:r>
    </w:p>
    <w:p w:rsidR="00991A45" w:rsidRPr="006D4CAA" w:rsidRDefault="00991A45" w:rsidP="006D4CAA">
      <w:pPr>
        <w:pStyle w:val="NormaleWeb"/>
        <w:spacing w:line="200" w:lineRule="atLeast"/>
        <w:jc w:val="both"/>
        <w:rPr>
          <w:rFonts w:asciiTheme="minorHAnsi" w:hAnsiTheme="minorHAnsi" w:cstheme="minorHAnsi"/>
          <w:sz w:val="22"/>
          <w:szCs w:val="22"/>
        </w:rPr>
      </w:pPr>
      <w:r w:rsidRPr="00805CA9">
        <w:rPr>
          <w:rFonts w:asciiTheme="minorHAnsi" w:hAnsiTheme="minorHAnsi" w:cstheme="minorHAnsi"/>
          <w:sz w:val="22"/>
          <w:szCs w:val="22"/>
        </w:rPr>
        <w:t>In m</w:t>
      </w:r>
      <w:r w:rsidR="00EC335F">
        <w:rPr>
          <w:rFonts w:asciiTheme="minorHAnsi" w:hAnsiTheme="minorHAnsi" w:cstheme="minorHAnsi"/>
          <w:sz w:val="22"/>
          <w:szCs w:val="22"/>
        </w:rPr>
        <w:t xml:space="preserve">erito alla variazione del Regolamento Comunale </w:t>
      </w:r>
      <w:r w:rsidRPr="00805CA9">
        <w:rPr>
          <w:rFonts w:asciiTheme="minorHAnsi" w:hAnsiTheme="minorHAnsi" w:cstheme="minorHAnsi"/>
          <w:sz w:val="22"/>
          <w:szCs w:val="22"/>
        </w:rPr>
        <w:t xml:space="preserve"> con l’approvazione da parte del Consiglio Comunale</w:t>
      </w:r>
      <w:r w:rsidR="001A093F">
        <w:rPr>
          <w:rFonts w:asciiTheme="minorHAnsi" w:hAnsiTheme="minorHAnsi" w:cstheme="minorHAnsi"/>
          <w:sz w:val="22"/>
          <w:szCs w:val="22"/>
        </w:rPr>
        <w:t xml:space="preserve"> delle stesse</w:t>
      </w:r>
      <w:r w:rsidRPr="00805CA9">
        <w:rPr>
          <w:rFonts w:asciiTheme="minorHAnsi" w:hAnsiTheme="minorHAnsi" w:cstheme="minorHAnsi"/>
          <w:sz w:val="22"/>
          <w:szCs w:val="22"/>
        </w:rPr>
        <w:t>.</w:t>
      </w:r>
    </w:p>
    <w:p w:rsidR="001B42DF" w:rsidRDefault="00EC335F" w:rsidP="000C4D71">
      <w:pPr>
        <w:autoSpaceDN w:val="0"/>
        <w:spacing w:line="256" w:lineRule="auto"/>
        <w:jc w:val="both"/>
        <w:rPr>
          <w:rFonts w:eastAsia="Times New Roman" w:cstheme="minorHAnsi"/>
          <w:kern w:val="3"/>
        </w:rPr>
      </w:pPr>
      <w:r>
        <w:rPr>
          <w:rFonts w:eastAsia="Times New Roman" w:cstheme="minorHAnsi"/>
          <w:kern w:val="3"/>
        </w:rPr>
        <w:t>Borgosesia, 28 gennaio 2026</w:t>
      </w:r>
    </w:p>
    <w:p w:rsidR="000C4D71" w:rsidRPr="006D4CAA" w:rsidRDefault="001B42DF" w:rsidP="006D4CAA">
      <w:pPr>
        <w:autoSpaceDN w:val="0"/>
        <w:spacing w:line="256" w:lineRule="auto"/>
        <w:jc w:val="both"/>
        <w:rPr>
          <w:rFonts w:eastAsia="Times New Roman" w:cstheme="minorHAnsi"/>
          <w:kern w:val="3"/>
        </w:rPr>
      </w:pPr>
      <w:r>
        <w:rPr>
          <w:rFonts w:eastAsia="Times New Roman" w:cstheme="minorHAnsi"/>
          <w:kern w:val="3"/>
        </w:rPr>
        <w:t>Il Revisore Unico</w:t>
      </w:r>
      <w:r w:rsidR="006D4CAA">
        <w:rPr>
          <w:rFonts w:eastAsia="Times New Roman" w:cstheme="minorHAnsi"/>
          <w:kern w:val="3"/>
        </w:rPr>
        <w:t xml:space="preserve"> </w:t>
      </w:r>
      <w:proofErr w:type="spellStart"/>
      <w:r>
        <w:rPr>
          <w:rFonts w:eastAsia="Times New Roman" w:cstheme="minorHAnsi"/>
          <w:kern w:val="3"/>
        </w:rPr>
        <w:t>Cerutti</w:t>
      </w:r>
      <w:proofErr w:type="spellEnd"/>
      <w:r>
        <w:rPr>
          <w:rFonts w:eastAsia="Times New Roman" w:cstheme="minorHAnsi"/>
          <w:kern w:val="3"/>
        </w:rPr>
        <w:t xml:space="preserve"> Francesco</w:t>
      </w:r>
    </w:p>
    <w:sectPr w:rsidR="000C4D71" w:rsidRPr="006D4CAA" w:rsidSect="00BB57F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6"/>
    <w:lvl w:ilvl="0">
      <w:start w:val="2"/>
      <w:numFmt w:val="bullet"/>
      <w:lvlText w:val="-"/>
      <w:lvlJc w:val="left"/>
      <w:pPr>
        <w:tabs>
          <w:tab w:val="num" w:pos="0"/>
        </w:tabs>
        <w:ind w:left="360" w:hanging="360"/>
      </w:pPr>
      <w:rPr>
        <w:rFonts w:ascii="Times New Roman" w:hAnsi="Times New Roman" w:cs="Times New Roman" w:hint="default"/>
      </w:rPr>
    </w:lvl>
  </w:abstractNum>
  <w:abstractNum w:abstractNumId="1">
    <w:nsid w:val="53B8099D"/>
    <w:multiLevelType w:val="multilevel"/>
    <w:tmpl w:val="FFFFFFFF"/>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66D707A5"/>
    <w:multiLevelType w:val="hybridMultilevel"/>
    <w:tmpl w:val="F9968C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C4D71"/>
    <w:rsid w:val="000C4D71"/>
    <w:rsid w:val="001A093F"/>
    <w:rsid w:val="001B42DF"/>
    <w:rsid w:val="00253408"/>
    <w:rsid w:val="002D6396"/>
    <w:rsid w:val="00346CAD"/>
    <w:rsid w:val="00357438"/>
    <w:rsid w:val="003D2406"/>
    <w:rsid w:val="004A6ABF"/>
    <w:rsid w:val="0052173F"/>
    <w:rsid w:val="00582EA5"/>
    <w:rsid w:val="005A3EC1"/>
    <w:rsid w:val="006D4CAA"/>
    <w:rsid w:val="00930956"/>
    <w:rsid w:val="00991A45"/>
    <w:rsid w:val="00BB57F1"/>
    <w:rsid w:val="00EC335F"/>
    <w:rsid w:val="00EC63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4D71"/>
  </w:style>
  <w:style w:type="paragraph" w:styleId="Titolo1">
    <w:name w:val="heading 1"/>
    <w:basedOn w:val="Normale"/>
    <w:next w:val="Normale"/>
    <w:link w:val="Titolo1Carattere"/>
    <w:uiPriority w:val="9"/>
    <w:qFormat/>
    <w:rsid w:val="000C4D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C4D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C4D7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C4D7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C4D7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C4D7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4D7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C4D7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4D7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4D7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C4D7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C4D7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C4D7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C4D7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C4D7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C4D7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C4D7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C4D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C4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4D7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4D7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4D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4D7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4D71"/>
    <w:rPr>
      <w:i/>
      <w:iCs/>
      <w:color w:val="404040" w:themeColor="text1" w:themeTint="BF"/>
    </w:rPr>
  </w:style>
  <w:style w:type="paragraph" w:styleId="Paragrafoelenco">
    <w:name w:val="List Paragraph"/>
    <w:basedOn w:val="Normale"/>
    <w:uiPriority w:val="34"/>
    <w:qFormat/>
    <w:rsid w:val="000C4D71"/>
    <w:pPr>
      <w:ind w:left="720"/>
      <w:contextualSpacing/>
    </w:pPr>
  </w:style>
  <w:style w:type="character" w:styleId="Enfasiintensa">
    <w:name w:val="Intense Emphasis"/>
    <w:basedOn w:val="Carpredefinitoparagrafo"/>
    <w:uiPriority w:val="21"/>
    <w:qFormat/>
    <w:rsid w:val="000C4D71"/>
    <w:rPr>
      <w:i/>
      <w:iCs/>
      <w:color w:val="2F5496" w:themeColor="accent1" w:themeShade="BF"/>
    </w:rPr>
  </w:style>
  <w:style w:type="paragraph" w:styleId="Citazioneintensa">
    <w:name w:val="Intense Quote"/>
    <w:basedOn w:val="Normale"/>
    <w:next w:val="Normale"/>
    <w:link w:val="CitazioneintensaCarattere"/>
    <w:uiPriority w:val="30"/>
    <w:qFormat/>
    <w:rsid w:val="000C4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C4D71"/>
    <w:rPr>
      <w:i/>
      <w:iCs/>
      <w:color w:val="2F5496" w:themeColor="accent1" w:themeShade="BF"/>
    </w:rPr>
  </w:style>
  <w:style w:type="character" w:styleId="Riferimentointenso">
    <w:name w:val="Intense Reference"/>
    <w:basedOn w:val="Carpredefinitoparagrafo"/>
    <w:uiPriority w:val="32"/>
    <w:qFormat/>
    <w:rsid w:val="000C4D71"/>
    <w:rPr>
      <w:b/>
      <w:bCs/>
      <w:smallCaps/>
      <w:color w:val="2F5496" w:themeColor="accent1" w:themeShade="BF"/>
      <w:spacing w:val="5"/>
    </w:rPr>
  </w:style>
  <w:style w:type="paragraph" w:styleId="NormaleWeb">
    <w:name w:val="Normal (Web)"/>
    <w:basedOn w:val="Normale"/>
    <w:rsid w:val="000C4D71"/>
    <w:pPr>
      <w:suppressAutoHyphens/>
      <w:spacing w:before="100" w:after="119" w:line="240" w:lineRule="auto"/>
    </w:pPr>
    <w:rPr>
      <w:rFonts w:ascii="Times New Roman" w:eastAsia="Times New Roman" w:hAnsi="Times New Roman" w:cs="Times New Roman"/>
      <w:kern w:val="0"/>
      <w:sz w:val="24"/>
      <w:szCs w:val="24"/>
      <w:lang w:eastAsia="zh-CN"/>
    </w:rPr>
  </w:style>
  <w:style w:type="paragraph" w:customStyle="1" w:styleId="rtf2NormalWeb">
    <w:name w:val="rtf2 Normal (Web)"/>
    <w:basedOn w:val="Normale"/>
    <w:rsid w:val="000C4D71"/>
    <w:pPr>
      <w:suppressAutoHyphens/>
      <w:spacing w:before="100" w:after="119" w:line="240" w:lineRule="auto"/>
    </w:pPr>
    <w:rPr>
      <w:rFonts w:ascii="Times New Roman" w:eastAsia="Times New Roman" w:hAnsi="Times New Roman" w:cs="Times New Roman"/>
      <w:kern w:val="0"/>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22F61-7F90-406C-8BE0-3FD8ECC3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1006</Words>
  <Characters>5735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MOSSO</dc:creator>
  <cp:keywords/>
  <dc:description/>
  <cp:lastModifiedBy>Francesco</cp:lastModifiedBy>
  <cp:revision>10</cp:revision>
  <dcterms:created xsi:type="dcterms:W3CDTF">2025-06-03T10:13:00Z</dcterms:created>
  <dcterms:modified xsi:type="dcterms:W3CDTF">2026-02-02T18:32:00Z</dcterms:modified>
</cp:coreProperties>
</file>